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Педиатрия (специалитет)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08:32 МСК · База обновлена: 25.07.2026, 07:39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Педиатрия (специалитет)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Мать с девочкой  9 месяцев на очередном профилактическом приеме у педиатра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Мать обратилась к врачу за рекомендациями по питанию ребенка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 последнее время ребенок стал более беспокойным, стал хуже спать, по словам матери, не наедается. Мать настаивает на замене молочной смеси цельным козьим молоком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Девочка от 3 беременности, протекавшей с гестозом и угрозой прерывания во втором  триместре. Роды в срок, преждевременное излитие околоплодных вод. Масса при рождении  ̶  3350 г, длина – 53 см, окружность головы – 36 см, окружность груди – 34 см. Оценка по шкале APGAR  8-9 баллов. К груди приложена в первые сутки.</w:t>
      </w:r>
    </w:p>
    <w:p>
      <w:pPr>
        <w:spacing w:after="58"/>
      </w:pPr>
      <w:r>
        <w:rPr>
          <w:b w:val="0"/>
          <w:i w:val="0"/>
        </w:rPr>
        <w:t>Естественное вскармливание до 3 месяцев, смешанное до 6 мес, докорм осуществлялся «начальной» формулой. В 6 мес отмечалось угасание лактации у матери на фоне стресса, и ребенок  продолжал получать «начальную» формулу в объеме суточного кормления.</w:t>
        <w:br/>
        <w:t>В настоящее время кормится 5 раз в сутки:  «начальная» смесь 180-200 мл  2 раза (утром и вечером),  овощное пюре  ̶ 150 г 1 раз, молочная каша 200  г 1 раз,  фруктовое пюре и соки по 80 мл),  цельное козье  молоко  ̶  200 мл 1 раз (введено матерью самостоятельно 5 дней назад).</w:t>
        <w:br/>
        <w:t>Наследственный анамнез: мать страдает хроническим тонзиллитом, хроническим холециститом, обострения в период беременности не отмечалось.</w:t>
        <w:br/>
        <w:t>Привита по Национальному календарю вакцинации.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</w:t>
        <w:tab/>
        <w:t>состояние удовлетворительное, кожа и слизистые чистые, бледные; подкожно-жировой слой развит удовлетворительно, тургор тканей снижен. Голова округлой формы. Б.р. 0,5 х 0,5 см, не выбухает. Зубов - 4.  Мышечный тонус не изменен. В легких дыхание пуэрильное, хрипов нет, ЧД – 33 в 1 мин. Тоны сердца ясные, ритмичные, шумов нет. ЧСС – 124 в 1 мин. Живот мягкий, безболезненный. Печень выступает на 1 см из подреберья, край мягкий, эластичный; селезенка не пальпируется.  Стул 2 раза в сутки, без особенностей.</w:t>
        <w:br/>
        <w:t>*</w:t>
        <w:tab/>
        <w:t>Физическое развитие: рост – 70  см, масса тела  9000 г, окружность головы – 44 см, окружность грудной клетки – 46 см.</w:t>
      </w:r>
    </w:p>
    <w:p>
      <w:pPr>
        <w:spacing w:after="58"/>
      </w:pPr>
      <w:r>
        <w:rPr>
          <w:b w:val="0"/>
          <w:i w:val="0"/>
        </w:rPr>
        <w:t>*Результаты антропометрического обследования*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373"/>
        <w:gridCol w:w="3373"/>
        <w:gridCol w:w="3373"/>
      </w:tblGrid>
      <w:tr>
        <w:trPr>
          <w:tblHeader w:val="true"/>
        </w:trPr>
        <w:tc>
          <w:tcPr>
            <w:tcW w:type="dxa" w:w="3373"/>
          </w:tcPr>
          <w:p>
            <w:r>
              <w:rPr>
                <w:b/>
                <w:i w:val="0"/>
              </w:rPr>
              <w:t>Показатели</w:t>
            </w:r>
          </w:p>
        </w:tc>
        <w:tc>
          <w:tcPr>
            <w:tcW w:type="dxa" w:w="3373"/>
          </w:tcPr>
          <w:p>
            <w:r>
              <w:rPr>
                <w:b/>
                <w:i w:val="0"/>
              </w:rPr>
              <w:t>Результаты</w:t>
            </w:r>
          </w:p>
        </w:tc>
        <w:tc>
          <w:tcPr>
            <w:tcW w:type="dxa" w:w="3373"/>
          </w:tcPr>
          <w:p>
            <w:r>
              <w:rPr>
                <w:b/>
                <w:i w:val="0"/>
              </w:rPr>
              <w:t>Показатель Z-скор</w:t>
            </w:r>
          </w:p>
        </w:tc>
      </w:tr>
      <w:tr>
        <w:tc>
          <w:tcPr>
            <w:tcW w:type="dxa" w:w="3373"/>
          </w:tcPr>
          <w:p>
            <w:r>
              <w:rPr>
                <w:b w:val="0"/>
                <w:i w:val="0"/>
              </w:rPr>
              <w:t>Рост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70 см.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-1 и +1 SSD</w:t>
            </w:r>
          </w:p>
        </w:tc>
      </w:tr>
      <w:tr>
        <w:tc>
          <w:tcPr>
            <w:tcW w:type="dxa" w:w="3373"/>
          </w:tcPr>
          <w:p>
            <w:r>
              <w:rPr>
                <w:b w:val="0"/>
                <w:i w:val="0"/>
              </w:rPr>
              <w:t>Масса тела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9000 г.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-1 и +1 SSD</w:t>
            </w:r>
          </w:p>
        </w:tc>
      </w:tr>
      <w:tr>
        <w:tc>
          <w:tcPr>
            <w:tcW w:type="dxa" w:w="3373"/>
          </w:tcPr>
          <w:p>
            <w:r>
              <w:rPr>
                <w:b w:val="0"/>
                <w:i w:val="0"/>
              </w:rPr>
              <w:t>Вес относительно роста</w:t>
            </w:r>
          </w:p>
        </w:tc>
        <w:tc>
          <w:tcPr>
            <w:tcW w:type="dxa" w:w="3373"/>
          </w:tcPr>
          <w:p/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-1 и +1 SSD</w:t>
            </w:r>
          </w:p>
        </w:tc>
      </w:tr>
    </w:tbl>
    <w:p/>
    <w:p>
      <w:pPr>
        <w:spacing w:after="58"/>
      </w:pPr>
      <w:r>
        <w:rPr>
          <w:b w:val="0"/>
          <w:i w:val="0"/>
        </w:rPr>
        <w:t>*Показатели нервно-психического развития*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373"/>
        <w:gridCol w:w="3373"/>
        <w:gridCol w:w="3373"/>
      </w:tblGrid>
      <w:tr>
        <w:trPr>
          <w:tblHeader w:val="true"/>
        </w:trPr>
        <w:tc>
          <w:tcPr>
            <w:tcW w:type="dxa" w:w="3373"/>
          </w:tcPr>
          <w:p>
            <w:r>
              <w:rPr>
                <w:b/>
                <w:i w:val="0"/>
              </w:rPr>
              <w:t>Показатели нервно-психического развития</w:t>
            </w:r>
          </w:p>
        </w:tc>
        <w:tc>
          <w:tcPr>
            <w:tcW w:type="dxa" w:w="3373"/>
          </w:tcPr>
          <w:p>
            <w:r>
              <w:rPr>
                <w:b/>
                <w:i w:val="0"/>
              </w:rPr>
              <w:t>Возраст, мес.</w:t>
            </w:r>
          </w:p>
        </w:tc>
        <w:tc>
          <w:tcPr>
            <w:tcW w:type="dxa" w:w="3373"/>
          </w:tcPr>
          <w:p>
            <w:r>
              <w:rPr>
                <w:b/>
                <w:i w:val="0"/>
              </w:rPr>
              <w:t>Навыки и умения</w:t>
            </w:r>
          </w:p>
        </w:tc>
      </w:tr>
      <w:tr>
        <w:tc>
          <w:tcPr>
            <w:tcW w:type="dxa" w:w="3373"/>
          </w:tcPr>
          <w:p>
            <w:r>
              <w:rPr>
                <w:b w:val="0"/>
                <w:i w:val="0"/>
              </w:rPr>
              <w:t>Самостоятельно садится, ходит с опорой, держит и ест корочку хлеба,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8 месяцев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Движения общие</w:t>
            </w:r>
          </w:p>
        </w:tc>
      </w:tr>
      <w:tr>
        <w:tc>
          <w:tcPr>
            <w:tcW w:type="dxa" w:w="3373"/>
          </w:tcPr>
          <w:p>
            <w:r>
              <w:rPr>
                <w:b w:val="0"/>
                <w:i w:val="0"/>
              </w:rPr>
              <w:t>Стоит с опорой, ходит с поддержкой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8 месяцев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Активная речь</w:t>
            </w:r>
          </w:p>
        </w:tc>
      </w:tr>
      <w:tr>
        <w:tc>
          <w:tcPr>
            <w:tcW w:type="dxa" w:w="3373"/>
          </w:tcPr>
          <w:p>
            <w:r>
              <w:rPr>
                <w:b w:val="0"/>
                <w:i w:val="0"/>
              </w:rPr>
              <w:t>Подражает слышимым слогам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9 месяцев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Понимание речи</w:t>
            </w:r>
          </w:p>
        </w:tc>
      </w:tr>
      <w:tr>
        <w:tc>
          <w:tcPr>
            <w:tcW w:type="dxa" w:w="3373"/>
          </w:tcPr>
          <w:p>
            <w:r>
              <w:rPr>
                <w:b w:val="0"/>
                <w:i w:val="0"/>
              </w:rPr>
              <w:t>Знает свое имя, на вопрос «Где?» находит и достает предмет из массы игрушек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9 месяцев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Эмоции и социальное поведение</w:t>
            </w:r>
          </w:p>
        </w:tc>
      </w:tr>
      <w:tr>
        <w:tc>
          <w:tcPr>
            <w:tcW w:type="dxa" w:w="3373"/>
          </w:tcPr>
          <w:p>
            <w:r>
              <w:rPr>
                <w:b w:val="0"/>
                <w:i w:val="0"/>
              </w:rPr>
              <w:t>Сама держит и ест корочку хлеба, играет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9 месяцев</w:t>
            </w:r>
          </w:p>
        </w:tc>
        <w:tc>
          <w:tcPr>
            <w:tcW w:type="dxa" w:w="3373"/>
          </w:tcPr>
          <w:p/>
        </w:tc>
      </w:tr>
    </w:tbl>
    <w:p/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При оценке физического состояния ребенка в данном клиническом случае установлено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рост не соответствует возрасту, вес соответствует возрасту, вес соответствует росту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рост соответствует возрасту, вес соответствует возрасту, вес не соответствует росту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рост соответствует возрасту, вес соответствует возрасту, вес соответствует росту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рост соответствует возрасту, вес не соответствует возрасту, вес соответствует росту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рост соответствует возрасту, вес соответствует возрасту, вес соответствует росту</w:t>
      </w:r>
    </w:p>
    <w:p>
      <w:pPr>
        <w:ind w:left="504"/>
      </w:pPr>
      <w:r>
        <w:rPr>
          <w:b w:val="0"/>
          <w:i/>
        </w:rPr>
        <w:t>Оценку антропометрических показателей следует проводить по Нормам роста детей, разработанным ВОЗ (2006). Они включают следующие индексы: масса для возраста, рост (длина тела) для возраста, масса тела для роста (длины тела), индекс массы тела для возраста, а также окружность головы, плеча, толщина кожных складок в области трехглавой мышцы и подлопаточной области для возраста и пола. Данные показатели представлены в перцентилях и Z-score, для расчета которых целесообразно использовать компьютерную программу WHO Anthro.</w:t>
        <w:br/>
        <w:br/>
      </w:r>
      <w:hyperlink r:id="rId20">
        <w:r>
          <w:rPr>
            <w:color w:val="173C49"/>
            <w:u w:val="single"/>
          </w:rPr>
          <w:t>Программа оптимизации вскармливания детей первого года жизни в Российской Федерации, 2019 г.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br/>
        <w:br/>
        <w:t>Показатели данного ребенка:</w:t>
        <w:br/>
        <w:br/>
        <w:t>|Показатели</w:t>
        <w:tab/>
        <w:t>|Результаты</w:t>
        <w:tab/>
        <w:t>|Показатель Z-скор</w:t>
        <w:br/>
        <w:t>|Рост</w:t>
        <w:tab/>
        <w:t>|70 см.</w:t>
        <w:tab/>
        <w:t>|-1 и +1 SSD</w:t>
        <w:br/>
        <w:t>|Масса тела</w:t>
        <w:tab/>
        <w:t>|9000 г.</w:t>
        <w:tab/>
        <w:t>|-1 и +1 SSD</w:t>
        <w:br/>
        <w:t>|Вес относительно роста</w:t>
        <w:tab/>
        <w:tab/>
        <w:t>||-1 и +1 SSD</w:t>
        <w:br/>
        <w:br/>
        <w:t>{nbsp}</w:t>
        <w:br/>
        <w:br/>
        <w:t>Для оценки различных форм нарушения питания и физического развития с использованием Z-скор и их комбинаций определены критерии</w:t>
        <w:br/>
        <w:br/>
        <w:t>[cols=",,,,"]</w:t>
        <w:br/>
        <w:br/>
        <w:t>.2+h|Z</w:t>
        <w:tab/>
        <w:t>4+h|Показатели</w:t>
        <w:br/>
        <w:tab/>
        <w:t>h|Длина тела / рост к возрасту</w:t>
        <w:tab/>
        <w:t>h|Масса тела к возрасту</w:t>
        <w:tab/>
        <w:t>h|Масса тела к длине / росту</w:t>
        <w:tab/>
        <w:t>h|Индекс массы тела к возрасту</w:t>
        <w:br/>
        <w:t>|&gt; +3</w:t>
        <w:tab/>
        <w:t>|Высокорослость</w:t>
        <w:tab/>
        <w:t>.2+|Избыточная масса тела**, ***</w:t>
        <w:tab/>
        <w:t>.2+|Избыточная масса тела***</w:t>
        <w:tab/>
        <w:t>.2+|Избыточная масса тела***</w:t>
        <w:br/>
        <w:t>|+2…+3</w:t>
        <w:tab/>
        <w:t>|Вариант нормы</w:t>
        <w:br/>
        <w:t>|+1…+2</w:t>
        <w:tab/>
        <w:t>|Вариант нормы</w:t>
        <w:tab/>
        <w:t>|Вариант нормы</w:t>
        <w:tab/>
        <w:t>|Риск избыточной массы тела</w:t>
        <w:tab/>
        <w:t>|Риск избыточной массы тела</w:t>
        <w:br/>
        <w:t>5+h|0 (медиана)</w:t>
        <w:br/>
        <w:t>|-1…-2</w:t>
        <w:tab/>
        <w:t>|Вариант нормы</w:t>
        <w:tab/>
        <w:t>|Вариант нормы</w:t>
        <w:tab/>
        <w:t>|Легкая недостаточность питания</w:t>
        <w:tab/>
        <w:t>|Легкая недостаточность питания</w:t>
        <w:br/>
        <w:t>|-2…-3</w:t>
        <w:tab/>
        <w:t>.2+|Низкорослость может свидетельствовать о хронической белково-энергетической недостаточности</w:t>
        <w:tab/>
        <w:t>.2+|Недостаточная масса тела</w:t>
        <w:tab/>
        <w:t>|Умеренная недостаточность питания</w:t>
        <w:tab/>
        <w:t>|Умеренная недостаточность питания</w:t>
        <w:br/>
        <w:t>|&lt; -3</w:t>
        <w:tab/>
        <w:tab/>
        <w:tab/>
        <w:t>|Тяжелая недостаточность питания</w:t>
        <w:tab/>
        <w:t>|Тяжелая недостаточность</w:t>
        <w:br/>
        <w:br/>
        <w:t>{nbsp}</w:t>
        <w:br/>
        <w:br/>
      </w:r>
      <w:hyperlink r:id="rId23">
        <w:r>
          <w:rPr>
            <w:color w:val="173C49"/>
            <w:u w:val="single"/>
          </w:rPr>
          <w:t>(3)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Нервно-психическое развитие ребенка соответствует +______+ группе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2</w:t>
      </w:r>
    </w:p>
    <w:p>
      <w:pPr>
        <w:ind w:left="504"/>
      </w:pPr>
      <w:r>
        <w:rPr>
          <w:b w:val="0"/>
          <w:i/>
        </w:rPr>
        <w:t>II группа НПР характеризуется отставанием ребенка по одному или нескольким показателям НПР на один-два эпикризных срока.</w:t>
        <w:br/>
        <w:br/>
        <w:t>Показатели данного ребенка:</w:t>
        <w:br/>
        <w:br/>
        <w:t>2+|Показатели нервно-психического развития</w:t>
        <w:tab/>
        <w:t>|Возраст, мес.</w:t>
        <w:br/>
        <w:t>|Навыки и умения</w:t>
        <w:tab/>
        <w:t>|Самостоятельно садится, ходит с опорой, держит и ест корочку хлеба,</w:t>
        <w:tab/>
        <w:t>|8 месяцев</w:t>
        <w:br/>
        <w:t>|Движения общие</w:t>
        <w:tab/>
        <w:t>|Стоит с опорой, ходит с поддержкой</w:t>
        <w:tab/>
        <w:t>|8 месяцев</w:t>
        <w:br/>
        <w:t>|Активная речь</w:t>
        <w:tab/>
        <w:t>|Подражает слышимым слогам</w:t>
        <w:tab/>
        <w:t>|9 месяцев</w:t>
        <w:br/>
        <w:t>|Понимание речи</w:t>
        <w:tab/>
        <w:t>|Знает свое имя, на вопрос «Где?» находит и достает предмет из массы игрушек</w:t>
        <w:tab/>
        <w:t>|9 месяцев</w:t>
        <w:br/>
        <w:t>|Эмоции и социальное поведение</w:t>
        <w:tab/>
        <w:t>|Сама держит и ест корочку хлеба, играет</w:t>
        <w:tab/>
        <w:t>|9 месяцев</w:t>
        <w:br/>
        <w:br/>
        <w:t>{nbsp}</w:t>
        <w:br/>
        <w:br/>
        <w:t>Кильдиярова, Р. Р. Поликлиническая и неотложная педиатрия : учебник / Кильдиярова Р. Р. , Макарова В. И. - Москва : ГЭОТАР-Медиа, 2019. - 472 с. - ISBN 978-5-9704-4909-7.</w:t>
        <w:br/>
        <w:br/>
      </w:r>
      <w:hyperlink r:id="rId2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На 1 году жизни параметрами оценки являются: моторная, эмоциональная, социальная функции и предречевое, речево развитие.</w:t>
        <w:br/>
        <w:br/>
      </w:r>
      <w:hyperlink r:id="rId26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В возрасте 3-х мес. необходимым дополнительным методом обследования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кал на скрытую кровь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биохимический анализ мочи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анализ кала на углеводы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общий анализ крови</w:t>
      </w:r>
    </w:p>
    <w:p>
      <w:pPr>
        <w:ind w:left="504"/>
      </w:pPr>
      <w:r>
        <w:rPr>
          <w:b w:val="0"/>
          <w:i/>
        </w:rPr>
        <w:t>В возрасте 3-х мес. при проведении диспансеризации здоровых детей в качестве дополнительных методов обследования необходимо назначить общий анализ крови и мочи.</w:t>
        <w:br/>
        <w:br/>
      </w:r>
      <w:hyperlink r:id="rId27">
        <w:r>
          <w:rPr>
            <w:color w:val="173C49"/>
            <w:u w:val="single"/>
          </w:rPr>
          <w:t>Приказ Минздрава России от 14 апреля 2025 года № 211н Об утверждении порядка прохождения несовершеннолетними профилактических медицинских осмотров, учетной формы № 030-ПО/у "Карта профилактического медицинского осмотра несовершеннолетнего", порядка ее ведения, а также формы отраслевого статистического наблюдения № 030-ПО/о "Сведения о профилактических медицинских осмотрах несовершеннолетних", порядка ее заполнения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Группа здоровья ребенка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IV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III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II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I</w:t>
      </w:r>
    </w:p>
    <w:p>
      <w:pPr>
        <w:ind w:left="504"/>
      </w:pPr>
      <w:r>
        <w:rPr>
          <w:b w:val="0"/>
          <w:i/>
        </w:rPr>
        <w:t>I группа здоровья - здоровые несовершеннолетние, имеющие нормальное физическое и психическое развитие, не имеющие анатомических дефектов, функциональных и морфофункциональных нарушений;</w:t>
        <w:br/>
        <w:br/>
      </w:r>
      <w:hyperlink r:id="rId27">
        <w:r>
          <w:rPr>
            <w:color w:val="173C49"/>
            <w:u w:val="single"/>
          </w:rPr>
          <w:t>Приказ Минздрава России от 14 апреля 2025 года № 211н Об утверждении порядка прохождения несовершеннолетними профилактических медицинских осмотров, учетной формы № 030-ПО/у "Карта профилактического медицинского осмотра несовершеннолетнего", порядка ее ведения, а также формы отраслевого статистического наблюдения № 030-ПО/о "Сведения о профилактических медицинских осмотрах несовершеннолетних", порядка ее заполнения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Суточный и разовый объемы кормлений данного пациента должны быть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1000 мл и 200 мл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1500 мл и более 300 мл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1200 мл и 250 мл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1000 мл и 250 мл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1000 мл и 200 мл</w:t>
      </w:r>
    </w:p>
    <w:p>
      <w:pPr>
        <w:ind w:left="504"/>
      </w:pPr>
      <w:r>
        <w:rPr>
          <w:b w:val="0"/>
          <w:i/>
        </w:rPr>
        <w:t>Объем питания у ребенка в возрасте 3 мес не должен превышать 850 мл/сут, 4 мес ― 900 мл/сут, а после 5 мес ― 1000 мл/сут.</w:t>
        <w:br/>
        <w:br/>
      </w:r>
      <w:hyperlink r:id="rId20">
        <w:r>
          <w:rPr>
            <w:color w:val="173C49"/>
            <w:u w:val="single"/>
          </w:rPr>
          <w:t>Методические рекомендации. Программа оптимизации вскармливания детей первого года жизни в Российской Федерации, 2019 г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В возрасте 9 мес. у ребенка 5 кормлений, через 4 часа, с ночным перерывом 8 часов.</w:t>
        <w:br/>
        <w:br/>
        <w:t>Детская диетология / Кильдиярова Р. Р. - Москва : ГЭОТАР-Медиа, 2019. - 272 с. (Серия "Библиотека врача-специалиста") - ISBN 978-5-9704-4960-8.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Для искусственного вскармливания ребенка во II полугодии жизни рекомендованы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«последующие» молочные смеси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смеси третьей формулы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безлактозные молочные смеси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начальные молочные смеси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«последующие» молочные смеси</w:t>
      </w:r>
    </w:p>
    <w:p>
      <w:pPr>
        <w:ind w:left="504"/>
      </w:pPr>
      <w:r>
        <w:rPr>
          <w:b w:val="0"/>
          <w:i/>
        </w:rPr>
        <w:t>•</w:t>
        <w:tab/>
        <w:t>«последующие» молочные смеси — для детей второго полугодия жизни;</w:t>
        <w:br/>
        <w:br/>
      </w:r>
      <w:hyperlink r:id="rId20">
        <w:r>
          <w:rPr>
            <w:color w:val="173C49"/>
            <w:u w:val="single"/>
          </w:rPr>
          <w:t>Методические рекомендации. Программа оптимизации вскармливания детей первого года жизни в Российской Федерации, 2019 г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Цельное молоко в рационе питания ребенка грудного возраста рекомендуется вводить с возраста _____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12</w:t>
      </w:r>
    </w:p>
    <w:p>
      <w:pPr>
        <w:ind w:left="504"/>
      </w:pPr>
      <w:r>
        <w:rPr>
          <w:b w:val="0"/>
          <w:i/>
        </w:rPr>
        <w:t>Неадаптированные кисломолочные продукты (детские творог, кефир, йогурт, биолакт) назначаются индивидуально, после 8−12 мес, под строгим контролем рекомендуемого объема. Цельное коровье молоко на первом году жизни не используется.</w:t>
        <w:br/>
        <w:br/>
      </w:r>
      <w:hyperlink r:id="rId20">
        <w:r>
          <w:rPr>
            <w:color w:val="173C49"/>
            <w:u w:val="single"/>
          </w:rPr>
          <w:t>Методические рекомендации. Программа оптимизации вскармливания детей первого года жизни в Российской Федерации, 2019 г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Рекомендациями по кормлению ребенка с учетом его фактической диеты на момент обращения будут: кормить ребенка 5 раз в день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«последующей» смесью,</w:t>
        <w:br/>
        <w:t>молочной кашей, овощным пюре, мясным пюре, фруктовым пюре, неадаптированной кисломолочной смесью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заменить «начальную» смесь на козье молоко, ввести мясное пюре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заменить «начальную» смесь неадаптированными кисломолочными смесями, ввести мясное пюре и творог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сохранять перечень блюд прикорма, установленный матерью самостоятельно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«последующей» смесью,</w:t>
        <w:br/>
        <w:t>молочной кашей, овощным пюре, мясным пюре, фруктовым пюре, неадаптированной кисломолочной смесью</w:t>
      </w:r>
    </w:p>
    <w:p>
      <w:pPr>
        <w:ind w:left="504"/>
      </w:pPr>
      <w:r>
        <w:rPr>
          <w:b w:val="0"/>
          <w:i/>
        </w:rPr>
        <w:t>В качестве искусственного вскармливания во 2 полугодии жизни используется «последующая» смесь.</w:t>
        <w:br/>
        <w:br/>
      </w:r>
      <w:hyperlink r:id="rId20">
        <w:r>
          <w:rPr>
            <w:color w:val="173C49"/>
            <w:u w:val="single"/>
          </w:rPr>
          <w:t>Методические рекомендации. Программа оптимизации вскармливания детей первого года жизни в Российской Федерации, 2019 г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В возрасте 9 мес. в рацион питания должны быть включены 3 вида прикорма и в 4 кормление можно разнообразить за счет блюд дополнительного прикорма.</w:t>
        <w:br/>
        <w:br/>
        <w:t>[cols=",,,,,"]</w:t>
        <w:br/>
        <w:br/>
        <w:t>.2+h|Наименование продуктов и блюд (г, мл)</w:t>
        <w:tab/>
        <w:t>5+h|Возраст, мес</w:t>
        <w:br/>
        <w:tab/>
        <w:t>h|4−5</w:t>
        <w:tab/>
        <w:t>h|6</w:t>
        <w:tab/>
        <w:t>h|7</w:t>
        <w:tab/>
        <w:t>h|8</w:t>
        <w:tab/>
        <w:t>h|9−12</w:t>
        <w:br/>
        <w:t>|Овощное пюре</w:t>
        <w:tab/>
        <w:t>|10−150</w:t>
        <w:tab/>
        <w:t>|150</w:t>
        <w:tab/>
        <w:t>|150</w:t>
        <w:tab/>
        <w:t>|150</w:t>
        <w:tab/>
        <w:t>|150</w:t>
        <w:br/>
        <w:t>|Каша</w:t>
        <w:tab/>
        <w:t>|10−150</w:t>
        <w:tab/>
        <w:t>|150</w:t>
        <w:tab/>
        <w:t>|150</w:t>
        <w:tab/>
        <w:t>|180</w:t>
        <w:tab/>
        <w:t>|200</w:t>
        <w:br/>
        <w:t>|Мясное пюре промышленного производства*/отварное мясо</w:t>
        <w:tab/>
        <w:t>|-</w:t>
        <w:tab/>
        <w:t>|5−30/3−15</w:t>
        <w:tab/>
        <w:t>|40−50/20−30</w:t>
        <w:tab/>
        <w:t>|60−70/30−35</w:t>
        <w:tab/>
        <w:t>|80−100/40−50</w:t>
        <w:br/>
        <w:t>|Фруктовое пюре**</w:t>
        <w:tab/>
        <w:t>|5−50</w:t>
        <w:tab/>
        <w:t>|60</w:t>
        <w:tab/>
        <w:t>|70</w:t>
        <w:tab/>
        <w:t>|80</w:t>
        <w:tab/>
        <w:t>|90−100</w:t>
        <w:br/>
        <w:t>|Желток |</w:t>
        <w:tab/>
        <w:t>-</w:t>
        <w:tab/>
        <w:t>|-</w:t>
        <w:tab/>
        <w:t>|1/4</w:t>
        <w:tab/>
        <w:t>|1/2</w:t>
        <w:tab/>
        <w:t>|1/2</w:t>
        <w:br/>
        <w:t>|Творог***</w:t>
        <w:tab/>
        <w:t>|-</w:t>
        <w:tab/>
        <w:t>|-</w:t>
        <w:tab/>
        <w:t>|-</w:t>
        <w:tab/>
        <w:t>|10−40</w:t>
        <w:tab/>
        <w:t>|50</w:t>
        <w:br/>
        <w:t>|Рыбное пюре</w:t>
        <w:tab/>
        <w:t>|-</w:t>
        <w:tab/>
        <w:t>|-</w:t>
        <w:tab/>
        <w:t>|-</w:t>
        <w:tab/>
        <w:t>|5−30</w:t>
        <w:tab/>
        <w:t>|30−60</w:t>
        <w:br/>
        <w:t>|Фруктовый сок</w:t>
        <w:tab/>
        <w:t>|-</w:t>
        <w:tab/>
        <w:t>|-</w:t>
        <w:tab/>
        <w:t>|-</w:t>
        <w:tab/>
        <w:t>|5−60</w:t>
        <w:tab/>
        <w:t>|80−100</w:t>
        <w:br/>
        <w:t>|Кефир и другие детские неадаптированные кисломолочные напитки</w:t>
        <w:tab/>
        <w:t>|-</w:t>
        <w:tab/>
        <w:t>|-</w:t>
        <w:tab/>
        <w:t>|-</w:t>
        <w:tab/>
        <w:t>|200</w:t>
        <w:tab/>
        <w:t>|200</w:t>
        <w:br/>
        <w:t>|Печенье детское</w:t>
        <w:tab/>
        <w:t>|-</w:t>
        <w:tab/>
        <w:t>|3</w:t>
        <w:tab/>
        <w:t>|5</w:t>
        <w:tab/>
        <w:t>|5</w:t>
        <w:tab/>
        <w:t>|5</w:t>
        <w:br/>
        <w:t>|Хлеб пшеничный, сухари</w:t>
        <w:tab/>
        <w:t>|-</w:t>
        <w:tab/>
        <w:t>|-</w:t>
        <w:tab/>
        <w:t>|-</w:t>
        <w:tab/>
        <w:t>|5</w:t>
        <w:tab/>
        <w:t>|10</w:t>
        <w:br/>
        <w:t>|Растительное масло**</w:t>
        <w:tab/>
        <w:t>|1−3</w:t>
        <w:tab/>
        <w:t>|5</w:t>
        <w:tab/>
        <w:t>|5</w:t>
        <w:tab/>
        <w:t>|6</w:t>
        <w:tab/>
        <w:t>|6</w:t>
        <w:br/>
        <w:t>|Сливочное масло*</w:t>
        <w:tab/>
        <w:t>|1−3</w:t>
        <w:tab/>
        <w:t>|4</w:t>
        <w:tab/>
        <w:t>|4</w:t>
        <w:tab/>
        <w:t>|5</w:t>
        <w:tab/>
        <w:t>|5</w:t>
        <w:br/>
        <w:br/>
      </w:r>
      <w:hyperlink r:id="rId35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Одним из правил введения прикорма является введение нового продукта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 второй половине дня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первой половине дня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вне зависимости от состояния здоровья ребенка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после кормления грудью или молочной смесью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 первой половине дня</w:t>
      </w:r>
    </w:p>
    <w:p>
      <w:pPr>
        <w:ind w:left="504"/>
      </w:pPr>
      <w:r>
        <w:rPr>
          <w:b w:val="0"/>
          <w:i/>
        </w:rPr>
        <w:t>•</w:t>
        <w:tab/>
        <w:t>новый продукт (блюдо) следует давать в первой половине дня для того, чтобы отметить возможную реакцию на его введение.</w:t>
        <w:br/>
        <w:br/>
      </w:r>
      <w:hyperlink r:id="rId20">
        <w:r>
          <w:rPr>
            <w:color w:val="173C49"/>
            <w:u w:val="single"/>
          </w:rPr>
          <w:t>Методические рекомендации. Программа оптимизации вскармливания детей первого года жизни в Российской Федерации, 2019 г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Суточная потребность в основных пищевых ингредиентах и энергии у ребенка 9 месяцев составляет: белки +______+ г/кг массы, жиры +_____+ г/кг массы, углеводы _____ г/кг массы, энергия +______+ ккал /кг массы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1,1; 5,5; 14; 115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2,1; 7,5; 14; 125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2,5; 6,5; 12; 120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2,9; 5,5; 13; 110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2,9; 5,5; 13; 110</w:t>
      </w:r>
    </w:p>
    <w:p>
      <w:pPr>
        <w:ind w:left="504"/>
      </w:pPr>
      <w:r>
        <w:rPr>
          <w:b w:val="0"/>
          <w:i/>
        </w:rPr>
        <w:t>Среднесуточные нормы физиологических потребностей в пищевых веществах и энергии для детей раннего возраста.</w:t>
        <w:br/>
        <w:br/>
        <w:t>[cols=",,,,^"]</w:t>
        <w:br/>
        <w:br/>
        <w:t>h|Возраст</w:t>
        <w:tab/>
        <w:t>h|Энергия, ккал**</w:t>
        <w:tab/>
        <w:t xml:space="preserve">h|Белки, г*** </w:t>
        <w:tab/>
        <w:t>h|Жиры, г**</w:t>
        <w:tab/>
        <w:t xml:space="preserve"> h|Углеводы, г**</w:t>
        <w:br/>
        <w:t>|0−3 мес</w:t>
        <w:tab/>
        <w:t>|115</w:t>
        <w:tab/>
        <w:t>|2,2</w:t>
        <w:tab/>
        <w:t>|6,5</w:t>
        <w:tab/>
        <w:t>|13</w:t>
        <w:br/>
        <w:t>|4−6 мес</w:t>
        <w:tab/>
        <w:t>|115</w:t>
        <w:tab/>
        <w:t>|2,6</w:t>
        <w:tab/>
        <w:t>|6,0</w:t>
        <w:tab/>
        <w:t>|13</w:t>
        <w:br/>
        <w:t>|7−12 мес</w:t>
        <w:tab/>
        <w:t>|110</w:t>
        <w:tab/>
        <w:t>|2,9</w:t>
        <w:tab/>
        <w:t>|5,5</w:t>
        <w:tab/>
        <w:t>|13</w:t>
        <w:br/>
        <w:br/>
      </w:r>
      <w:hyperlink r:id="rId20">
        <w:r>
          <w:rPr>
            <w:color w:val="173C49"/>
            <w:u w:val="single"/>
          </w:rPr>
          <w:t>Методические рекомендации. Программа оптимизации вскармливания детей первого года жизни в Российской Федерации, 2019 г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Отличие состава «последующих» смесей от  «начальных» формул заключается в более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низком  содержании фосфора и йода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низком содержании углеводов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высоком содержании жира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высоком содержании железа и кальция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высоком содержании железа и кальция</w:t>
      </w:r>
    </w:p>
    <w:p>
      <w:pPr>
        <w:ind w:left="504"/>
      </w:pPr>
      <w:r>
        <w:rPr>
          <w:b w:val="0"/>
          <w:i/>
        </w:rPr>
        <w:t>В последние годы наблюдается тенденция к снижению содержания белка не только в «начальных», но и в «последующих» молочных смесях. Учитывая постепенное снижение количества белка в грудном молоке по мере взросления ребенка, представляется целесообразным его более низкий уровень в смесях для детей второго полугодия жизни, по сравнению с продуктами для детей первых 6 мес. жизни. В то же время в «последующих» молочных смесях содержание отдельных минеральных веществ (железа, кальция, фосфора, йода и др.) выше.</w:t>
        <w:br/>
        <w:br/>
      </w:r>
      <w:hyperlink r:id="rId20">
        <w:r>
          <w:rPr>
            <w:color w:val="173C49"/>
            <w:u w:val="single"/>
          </w:rPr>
          <w:t>Методические рекомендации. Программа оптимизации вскармливания детей первого года жизни в Российской Федерации, 2019 г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Содержание железа в «последующих» молочных смесях (для детей второго полугодия жизни) возрастает до 0,9–1,4 мг/100 мл.</w:t>
        <w:br/>
        <w:br/>
      </w:r>
      <w:hyperlink r:id="rId40">
        <w:r>
          <w:rPr>
            <w:color w:val="173C49"/>
            <w:u w:val="single"/>
          </w:rPr>
          <w:t>(2)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Всасывание железа усиливает витамин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B6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D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</w:t>
      </w:r>
    </w:p>
    <w:p>
      <w:pPr>
        <w:ind w:left="504"/>
      </w:pPr>
      <w:r>
        <w:rPr>
          <w:b w:val="0"/>
          <w:i/>
        </w:rPr>
        <w:t>Влияние различных нутриентов на всасывание негемового железа максимально при совместном употреблении различных продуктов, что определяет необходимость правильного планирования рациона питания детей. Для удовлетворения потребности ребенка раннего возраста в железе в рацион питания ежедневно должны входить мясные продукты как источники хорошо усвояемого гемового железа, а также достаточное количество овощей, содержащих витамин С, улучшающий абсорбцию железа.</w:t>
        <w:br/>
        <w:br/>
      </w:r>
      <w:hyperlink r:id="rId20">
        <w:r>
          <w:rPr>
            <w:color w:val="173C49"/>
            <w:u w:val="single"/>
          </w:rPr>
          <w:t>Методические рекомендации. Программа оптимизации вскармливания детей первого года жизни в Российской Федерации, 2019 г.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Педиатрия (специалитет)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Mать мальчика 12 лет обратилась амбулаторно к врачу – педиатру.</w:t>
      </w:r>
    </w:p>
    <w:p>
      <w:pPr>
        <w:pStyle w:val="Heading3"/>
      </w:pPr>
      <w:r>
        <w:t>1.2. Жалобы на</w:t>
      </w:r>
    </w:p>
    <w:p>
      <w:pPr>
        <w:spacing w:after="58"/>
      </w:pPr>
      <w:r>
        <w:rPr>
          <w:b w:val="0"/>
          <w:i w:val="0"/>
        </w:rPr>
        <w:t>* сухой кашель.</w:t>
      </w:r>
    </w:p>
    <w:p>
      <w:pPr>
        <w:spacing w:after="58"/>
      </w:pPr>
      <w:r>
        <w:rPr>
          <w:b w:val="0"/>
          <w:i w:val="0"/>
        </w:rPr>
        <w:t>* одышку, учащенное дыхание.</w:t>
      </w:r>
    </w:p>
    <w:p>
      <w:pPr>
        <w:spacing w:after="58"/>
      </w:pPr>
      <w:r>
        <w:rPr>
          <w:b w:val="0"/>
          <w:i w:val="0"/>
        </w:rPr>
        <w:t>* повышение температуры до 39,5°С.</w:t>
      </w:r>
    </w:p>
    <w:p>
      <w:pPr>
        <w:spacing w:after="58"/>
      </w:pPr>
      <w:r>
        <w:rPr>
          <w:b w:val="0"/>
          <w:i w:val="0"/>
        </w:rPr>
        <w:t>* вялость, снижение аппетита.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Около недели назад у мальчика поднялась температура до 38,5°С. Далее появился сухой кашель. Был осмотрен педиатром амбулаторно, выставлен диагноз «ОРВИ», назначена симптоматическая терапия. На третьи сутки заболевания состояние ухудшилось, температура тела повысилась до 39,2°С, мальчик стал вялым, кашель участился, стал причинять дискомфорт, появилась боль в левой половине грудной клетки. Повторно обратились к участковому врачу.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Ребенок от 1-й беременности, протекавшей физиологически, 1-х самостоятельных родов в срок. Вес при рождении 3600 г, рост 53 см, оценка по шкале APGAR 8/8 баллов.</w:t>
      </w:r>
    </w:p>
    <w:p>
      <w:pPr>
        <w:spacing w:after="58"/>
      </w:pPr>
      <w:r>
        <w:rPr>
          <w:b w:val="0"/>
          <w:i w:val="0"/>
        </w:rPr>
        <w:t>* Наблюдается амбулаторно у педиатра и специалистов в декретированные сроки.</w:t>
      </w:r>
    </w:p>
    <w:p>
      <w:pPr>
        <w:spacing w:after="58"/>
      </w:pPr>
      <w:r>
        <w:rPr>
          <w:b w:val="0"/>
          <w:i w:val="0"/>
        </w:rPr>
        <w:t>* Профилактические прививки проводились согласно Национальному календарю.</w:t>
      </w:r>
    </w:p>
    <w:p>
      <w:pPr>
        <w:spacing w:after="58"/>
      </w:pPr>
      <w:r>
        <w:rPr>
          <w:b w:val="0"/>
          <w:i w:val="0"/>
        </w:rPr>
        <w:t>* Темпы психомоторного развития соответствуют возрастной норме.</w:t>
      </w:r>
    </w:p>
    <w:p>
      <w:pPr>
        <w:spacing w:after="58"/>
      </w:pPr>
      <w:r>
        <w:rPr>
          <w:b w:val="0"/>
          <w:i w:val="0"/>
        </w:rPr>
        <w:t>* Перенесенные заболевания: ОРВИ, острый бронхит.</w:t>
      </w:r>
    </w:p>
    <w:p>
      <w:pPr>
        <w:spacing w:after="58"/>
      </w:pPr>
      <w:r>
        <w:rPr>
          <w:b w:val="0"/>
          <w:i w:val="0"/>
        </w:rPr>
        <w:t>* Наследственный анамнез: у бабушки по отцовской линии пищевая аллергия (отек Квинке).</w:t>
      </w:r>
    </w:p>
    <w:p>
      <w:pPr>
        <w:spacing w:after="58"/>
      </w:pPr>
      <w:r>
        <w:rPr>
          <w:b w:val="0"/>
          <w:i w:val="0"/>
        </w:rPr>
        <w:t>* Аллергический анамнез мальчика 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</w:t>
        <w:tab/>
        <w:t>Общее состояние тяжелое за счет фебрильной лихорадки, явлений интоксикации. Температура 39.4°С. Дыхание учащенное, поверхностное.</w:t>
        <w:br/>
        <w:t>*</w:t>
        <w:tab/>
        <w:t>Вес –35 кг, рост - 150 см.</w:t>
        <w:br/>
        <w:t>*</w:t>
        <w:tab/>
        <w:t>Кожные покровы бледные, горячие на ощупь. Видимые слизистые зева не гиперемированы, налетов на миндалинах нет.</w:t>
        <w:br/>
        <w:t>*</w:t>
        <w:tab/>
        <w:t>Носовое дыхание свободное. Перкуторно над легкими ясный легочный звук, слева, по задне-боковой поверхности определяется притупление легочного звука. При аускультации в легких выслушивается жесткое дыхание, слева над участком укорочения перкуторного звука дыхание ослабленное, ЧД 38/мин. SрO2 – 91%.</w:t>
        <w:br/>
        <w:t>*</w:t>
        <w:tab/>
        <w:t>Органы кровообращения: тоны сердца ритмичные, учащены, шумов нет, ЧСС - 120/мин, АД 120/60 мм рт. ст.</w:t>
        <w:br/>
        <w:t>*</w:t>
        <w:tab/>
        <w:t>Органы пищеварения: живот, мягкий, доступен глубокой пальпации. Печень и селезенка не выступают из-под края реберной дуги.</w:t>
        <w:br/>
        <w:t>*</w:t>
        <w:tab/>
        <w:t>Стул оформленный, регулярный, дизурии нет.</w:t>
        <w:br/>
        <w:t>*</w:t>
        <w:tab/>
        <w:t>Нервная система: интеллект - возрастная норма, вялый, сонливый.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Необходимыми для постановки диагноза данными физикального осмотра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шум трения плевры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бронхиальное дыхание над всей поверхностью легких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одышка, учащенное дыхание, кашель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симметричные диффузные сухие свистящие хрипы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стойкая лихорадка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локальные изменения в виде укорочения/притупления легочного звука, ослабления дыхания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3 — одышка, учащенное дыхание, кашель; 5 — стойкая лихорадка; 6 — локальные изменения в виде укорочения/притупления легочного звука, ослабления дыхания</w:t>
      </w:r>
    </w:p>
    <w:p>
      <w:pPr>
        <w:ind w:left="504"/>
      </w:pPr>
      <w:r>
        <w:rPr>
          <w:b w:val="0"/>
          <w:i/>
        </w:rPr>
        <w:t>Пневмония — острое заболевание, обычно протекает с повышением температуры тела выше 38,0°С, с кашлем. Мета-анализ исследований диагностической ценности клинических симптомов пневмонии, опубликованный в 2015 году, показал, что наиболее значимыми являются тахипноэ с частотой дыхания более 50 в минуту, кряхтящее/стонущее дыхание, втяжение уступчивых мест грудной клетки и раздувание крыльев носа при дыхании. Ранними и важными клиническими признаками пневмонии являются симптомы дыхательной недостаточности.</w:t>
        <w:br/>
        <w:br/>
      </w:r>
      <w:hyperlink r:id="rId44">
        <w:r>
          <w:rPr>
            <w:color w:val="173C49"/>
            <w:u w:val="single"/>
          </w:rPr>
          <w:t>Клинические рекомендации Минздрава России. Пневмония (внебольничная), 2022 г.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Признаком, характерным для ВП, вызванных как типичными, так и атипичными возбудителями, является стойкость температуры ≥38,0° более 3 дней, тогда как при ОРВИ такая температура бывает лишь у 18% больных (при гриппе, адено-, энтеровирусной инфекциях).</w:t>
        <w:br/>
        <w:br/>
      </w:r>
      <w:hyperlink r:id="rId4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Изменения при перкуссии и аускультации специфичны, но мало чувствительны, что может приводить к гиподиагностике; укорочение перкуторного звука даже при долевых процессах встречается лишь в 75% случаев, локальное ослабленное или бронхиальное дыхание - в 53%, а мелкопузырчатые хрипы – всего в 39%. Хотя бы один из этих 3 симптомов выявляется лишь у 70% больных, у остальных пневмонии протекают как «немые»</w:t>
        <w:br/>
        <w:br/>
      </w:r>
      <w:hyperlink r:id="rId44">
        <w:r>
          <w:rPr>
            <w:color w:val="173C49"/>
            <w:u w:val="single"/>
          </w:rPr>
          <w:t>Клинические рекомендации Минздрава России. Пневмония (внебольничная), 2022 г.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диагностически значимым данным анамнеза относятся такие симптомы как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появление одышки, тахипноэ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отягощенный аллергологический анамнез бабушки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наличие бронхита в анамнезе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наличие первоначального диагноза «ОРВИ»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острое начало заболевания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появление одышки, тахипноэ; 5 — острое начало заболевания</w:t>
      </w:r>
    </w:p>
    <w:p>
      <w:pPr>
        <w:ind w:left="504"/>
      </w:pPr>
      <w:r>
        <w:rPr>
          <w:b w:val="0"/>
          <w:i/>
        </w:rPr>
        <w:t>Ранними и важными клиническими признаками пневмонии являются симптомы дыхательной недостаточности.</w:t>
        <w:br/>
        <w:br/>
      </w:r>
      <w:hyperlink r:id="rId44">
        <w:r>
          <w:rPr>
            <w:color w:val="173C49"/>
            <w:u w:val="single"/>
          </w:rPr>
          <w:t>Клинические рекомендации Минздрава России. Пневмония (внебольничная), 2022 г.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Пневмония — острое заболевание, обычно протекает с повышением температуры тела выше 38,0°С, с кашлем.</w:t>
        <w:br/>
        <w:br/>
      </w:r>
      <w:hyperlink r:id="rId44">
        <w:r>
          <w:rPr>
            <w:color w:val="173C49"/>
            <w:u w:val="single"/>
          </w:rPr>
          <w:t>Клинические рекомендации Минздрава России. Пневмония (внебольничная), 2022 г.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Необходимыми для постановки диагноза лабораторными исследованиями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исследование клеточного иммунитета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исследование уровня иммуноглобулинов в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исследование электролитов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крови, показатель С-реактивного белка в крови и прокальцитониновый тест (ПКТ)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общий анализ крови, показатель С-реактивного белка в крови и прокальцитониновый тест (ПКТ)</w:t>
      </w:r>
    </w:p>
    <w:p>
      <w:pPr>
        <w:ind w:left="504"/>
      </w:pPr>
      <w:r>
        <w:rPr>
          <w:b w:val="0"/>
          <w:i/>
        </w:rPr>
        <w:t>Детям с подозрением на пневмонию рекомендуется провести общий (клинический) анализ крови развернутый, исследование уровня С-реактивного белка (СРБ) в сыворотке крови для оценки маркеров бактериальной инфекции.</w:t>
        <w:br/>
        <w:br/>
        <w:t>У госпитализированных пациентов с тяжелым течением ВП для оценки эффективности антибактериальной терапии рекомендуется провести исследование уровня прокальцитонина в крови.</w:t>
        <w:br/>
        <w:br/>
      </w:r>
      <w:hyperlink r:id="rId44">
        <w:r>
          <w:rPr>
            <w:color w:val="173C49"/>
            <w:u w:val="single"/>
          </w:rPr>
          <w:t>Клинические рекомендации Минздрава России. Пневмония (внебольничная), 2022 г.</w:t>
        </w:r>
      </w:hyperlink>
      <w:r>
        <w:rPr>
          <w:b w:val="0"/>
          <w:i/>
        </w:rPr>
        <w:t xml:space="preserve"> </w:t>
      </w:r>
      <w:hyperlink r:id="rId4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К инструментальным методам обследования, необходимым для постановки диагноза в данном случае,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диагностическую бронхоскопию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МРТ легких с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рентгенографию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исследование функции внешнего дыхания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рентгенографию органов грудной клетки</w:t>
      </w:r>
    </w:p>
    <w:p>
      <w:pPr>
        <w:ind w:left="504"/>
      </w:pPr>
      <w:r>
        <w:rPr>
          <w:b w:val="0"/>
          <w:i/>
        </w:rPr>
        <w:t>Рентгенографию грудной клетки (рентгенографию легких, или рентгенографию легких цифровую) рекомендуется назначать с целью диагностики пневмонии и/или ее осложнений в следующих случаях:</w:t>
        <w:br/>
        <w:br/>
        <w:t>*</w:t>
        <w:tab/>
        <w:t>Если имеются признаки дыхательной недостаточности (Табл. 4, 5).</w:t>
        <w:br/>
        <w:t>*</w:t>
        <w:tab/>
        <w:t>При лихорадке без очага инфекции (при наличии лабораторных маркеров бактериальной инфекции и/или признаков тяжести состояния)</w:t>
        <w:br/>
        <w:t>*</w:t>
        <w:tab/>
        <w:t>При наличии локальных и/или асимметричных аускультативных и перкуторных изменений в легких</w:t>
        <w:br/>
        <w:br/>
        <w:t>Детям с подтвержденной рентгенологически пневмонией, но у которых отмечается неадекватный ответ на антибактериальную терапию (для исключения осложнений, таких как плеврит, некротизирующая пневмония, пневмоторакс)</w:t>
        <w:br/>
        <w:br/>
      </w:r>
      <w:hyperlink r:id="rId44">
        <w:r>
          <w:rPr>
            <w:color w:val="173C49"/>
            <w:u w:val="single"/>
          </w:rPr>
          <w:t>Клинические рекомендации Минздрава России. Пневмония (внебольничная), 2022 г.</w:t>
        </w:r>
      </w:hyperlink>
      <w:r>
        <w:rPr>
          <w:b w:val="0"/>
          <w:i/>
        </w:rPr>
        <w:t xml:space="preserve"> </w:t>
      </w:r>
      <w:hyperlink r:id="rId5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Учитывая данные анамнеза, физикального осмотра и результатов исследований, больному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Левосторонняя внебольничная полисегментарная пневмония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Левосторонняя внебольничная очаговая пневмония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Острая левосторонняя верхнедолевая пневмония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Острый обструктивный бронхит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Левосторонняя внебольничная полисегментарная пневмония</w:t>
      </w:r>
    </w:p>
    <w:p>
      <w:pPr>
        <w:ind w:left="504"/>
      </w:pPr>
      <w:r>
        <w:rPr>
          <w:b w:val="0"/>
          <w:i/>
        </w:rPr>
        <w:t>Критериями диагностики ВП являются:</w:t>
        <w:br/>
        <w:br/>
        <w:t>наличие острого инфекционного заболевания легочной паренхимы, диагностируемого по синдрому дыхательных расстройств и/или физикальным данным, а также инфильтративным изменениям на рентгенограмме.</w:t>
        <w:br/>
        <w:br/>
      </w:r>
      <w:hyperlink r:id="rId44">
        <w:r>
          <w:rPr>
            <w:color w:val="173C49"/>
            <w:u w:val="single"/>
          </w:rPr>
          <w:t>Клинические рекомендации Минздрава России. Пневмония (внебольничная), 2022 г.</w:t>
        </w:r>
      </w:hyperlink>
      <w:r>
        <w:rPr>
          <w:b w:val="0"/>
          <w:i/>
        </w:rPr>
        <w:t xml:space="preserve"> </w:t>
      </w:r>
      <w:hyperlink r:id="rId5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Больной был госпитализирован в стационар в связи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необходимостью назначения инфузионной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продолжительностью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возможностью заражения других членов семьи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наличием фебрильной лихорадки и снижением уровня SpO2 менее 92%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наличием фебрильной лихорадки и снижением уровня SpO2 менее 92%</w:t>
      </w:r>
    </w:p>
    <w:p>
      <w:pPr>
        <w:ind w:left="504"/>
      </w:pPr>
      <w:r>
        <w:rPr>
          <w:b w:val="0"/>
          <w:i/>
        </w:rPr>
        <w:t>Должны быть госпитализированы в круглосуточный стационар дети с ВП в следующих случаях:</w:t>
        <w:br/>
        <w:br/>
        <w:t>*</w:t>
        <w:tab/>
        <w:t>Дети с симптомами дыхательной недостаточности (Таблица 4) и гипоксемией (SpO2 ≤ 92%);</w:t>
        <w:br/>
        <w:t>*</w:t>
        <w:tab/>
        <w:t>Дети с тяжелой ВП;</w:t>
        <w:br/>
        <w:t>*</w:t>
        <w:tab/>
        <w:t>Дети с осложненной ВП;</w:t>
        <w:br/>
        <w:t>*</w:t>
        <w:tab/>
        <w:t>Дети первых 6 месяцев жизни с бактериальной ВП;</w:t>
        <w:br/>
        <w:t>*</w:t>
        <w:tab/>
        <w:t>Дети с вероятной или верифицированной пневмонией, вызванной возбудителем с высокой вирулентностью (например, метицилин-резистентный штамм S. aureus);</w:t>
        <w:br/>
        <w:t>*</w:t>
        <w:tab/>
        <w:t>Дети с пневмонией, адекватный уход за которыми и лечение в домашних условиях не могут быть обеспечены на должном уровне.</w:t>
        <w:br/>
        <w:br/>
      </w:r>
      <w:hyperlink r:id="rId44">
        <w:r>
          <w:rPr>
            <w:color w:val="173C49"/>
            <w:u w:val="single"/>
          </w:rPr>
          <w:t>Клинические рекомендации Минздрава России. Пневмония (внебольничная), 2022 г.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стационаре больному была назначена этиотропная +______________+ терапия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антибактериальная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противовирусная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местная глюкокортикоидная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противогрибковая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антибактериальная</w:t>
      </w:r>
    </w:p>
    <w:p>
      <w:pPr>
        <w:ind w:left="504"/>
      </w:pPr>
      <w:r>
        <w:rPr>
          <w:b w:val="0"/>
          <w:i/>
        </w:rPr>
        <w:t>Эффективность лечения ВП зависит от адекватного выбора эмпирической АБТ (см. Табл 8, 9) с учетом наиболее частых возбудителей и их чувствительности к противомикробным препаратам. Важно соблюдение режима дозирования противомикробного препарата (доза и кратность введения)</w:t>
        <w:br/>
        <w:br/>
      </w:r>
      <w:hyperlink r:id="rId44">
        <w:r>
          <w:rPr>
            <w:color w:val="173C49"/>
            <w:u w:val="single"/>
          </w:rPr>
          <w:t>Клинические рекомендации Минздрава России. Пневмония (внебольничная), 2022 г.</w:t>
        </w:r>
      </w:hyperlink>
      <w:r>
        <w:rPr>
          <w:b w:val="0"/>
          <w:i/>
        </w:rPr>
        <w:t xml:space="preserve"> </w:t>
      </w:r>
      <w:hyperlink r:id="rId5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Перед началом антибактериальной терапии необходимо провести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бактериологический посев на дифтерию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бактериологический посев крови на стерильность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пробу Манту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бактериологический посев из носоглотки на флору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бактериологический посев крови на стерильность</w:t>
      </w:r>
    </w:p>
    <w:p>
      <w:pPr>
        <w:ind w:left="504"/>
      </w:pPr>
      <w:r>
        <w:rPr>
          <w:b w:val="0"/>
          <w:i/>
        </w:rPr>
        <w:t>Ребенку с тяжелым течением внебольничной пневмонии рекомендуется провести микробиологическое (культуральное) исследование крови на стерильность с определением чувствительности микроорганизмов к антимикробным химиотерапевтическим препаратам (забор крови должен быть осуществлен до начала антибактериальной терапии).</w:t>
        <w:br/>
        <w:br/>
      </w:r>
      <w:hyperlink r:id="rId44">
        <w:r>
          <w:rPr>
            <w:color w:val="173C49"/>
            <w:u w:val="single"/>
          </w:rPr>
          <w:t>Клинические рекомендации Минздрава России. Пневмония (внебольничная), 2022 г.</w:t>
        </w:r>
      </w:hyperlink>
      <w:r>
        <w:rPr>
          <w:b w:val="0"/>
          <w:i/>
        </w:rPr>
        <w:t xml:space="preserve"> </w:t>
      </w:r>
      <w:hyperlink r:id="rId5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Наличие дискомфорта при кашле, боли в грудной клетке, длительность лихорадки, притупление перкуторного звука могут свидетельствовать о присоединении такого осложнения как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плеврит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пневмоторакс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сепсис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абсцесс легкого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плеврит</w:t>
      </w:r>
    </w:p>
    <w:p>
      <w:pPr>
        <w:ind w:left="504"/>
      </w:pPr>
      <w:r>
        <w:rPr>
          <w:b w:val="0"/>
          <w:i/>
        </w:rPr>
        <w:t>Симптомами синпневмонического плеврита могут быть лихорадка, боль в грудной клетке и боль в животе. При осмотре можно выявить такие признаки, как притупление перкуторного звука над скоплением жидкости, ослабление дыхательных шумов.</w:t>
        <w:br/>
        <w:br/>
      </w:r>
      <w:hyperlink r:id="rId44">
        <w:r>
          <w:rPr>
            <w:color w:val="173C49"/>
            <w:u w:val="single"/>
          </w:rPr>
          <w:t>Клинические рекомендации Минздрава России. Пневмония (внебольничная), 2022 г.</w:t>
        </w:r>
      </w:hyperlink>
      <w:r>
        <w:rPr>
          <w:b w:val="0"/>
          <w:i/>
        </w:rPr>
        <w:t xml:space="preserve"> </w:t>
      </w:r>
      <w:hyperlink r:id="rId5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Дополнительным инструментальным методом исследования, подтверждающим диагноз плеврита,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пневмосцинтиграфия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спирометрия с пробой с бронхолитиками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спирометрия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УЗИ плевральной полости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УЗИ плевральной полости</w:t>
      </w:r>
    </w:p>
    <w:p>
      <w:pPr>
        <w:ind w:left="504"/>
      </w:pPr>
      <w:r>
        <w:rPr>
          <w:b w:val="0"/>
          <w:i/>
        </w:rPr>
        <w:t>Детям с клиническо-анамнестическими признаками плеврита рекомендуется провести рентгенографию легких для того, чтобы подтвердить наличие жидкости в плевральной полости. Если клинико-анамнестические данные говорят в пользу плеврита, но результат рентгенологического исследования сомнительный, рекомендуется ультразвуковое исследование легких (ультразвуковое исследование плевральной полости) или компьютерная томография легких.</w:t>
        <w:br/>
        <w:br/>
      </w:r>
      <w:hyperlink r:id="rId44">
        <w:r>
          <w:rPr>
            <w:color w:val="173C49"/>
            <w:u w:val="single"/>
          </w:rPr>
          <w:t>Клинические рекомендации Минздрава России. Пневмония (внебольничная), 2022 г.</w:t>
        </w:r>
      </w:hyperlink>
      <w:r>
        <w:rPr>
          <w:b w:val="0"/>
          <w:i/>
        </w:rPr>
        <w:t xml:space="preserve"> </w:t>
      </w:r>
      <w:hyperlink r:id="rId5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С целью достижения оптимального эффекта терапии пневмонии, антибактериальная терапия в большинстве случаев должна продолжаться в течение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 – 4 недель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 – 5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14 – 21 дня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7 – 10 дней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7 – 10 дней</w:t>
      </w:r>
    </w:p>
    <w:p>
      <w:pPr>
        <w:ind w:left="504"/>
      </w:pPr>
      <w:hyperlink r:id="rId44">
        <w:r>
          <w:rPr>
            <w:color w:val="173C49"/>
            <w:u w:val="single"/>
          </w:rPr>
          <w:t>Клинические рекомендации Минздрава России. Пневмония (внебольничная), 2022 г.</w:t>
        </w:r>
      </w:hyperlink>
      <w:r>
        <w:rPr>
          <w:b w:val="0"/>
          <w:i/>
        </w:rPr>
        <w:t xml:space="preserve"> </w:t>
      </w:r>
      <w:hyperlink r:id="rId5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Наиболее значимым в профилактике пневмонии 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вакцинация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закаливание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изоляция заболевших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лечебная физкультура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вакцинация</w:t>
      </w:r>
    </w:p>
    <w:p>
      <w:pPr>
        <w:ind w:left="504"/>
      </w:pPr>
      <w:r>
        <w:rPr>
          <w:b w:val="0"/>
          <w:i/>
        </w:rPr>
        <w:t>Одним из главных направлений в профилактике пневмонии, в т.ч., тяжелого течения, является своевременная вакцинация.</w:t>
        <w:br/>
        <w:br/>
      </w:r>
      <w:hyperlink r:id="rId44">
        <w:r>
          <w:rPr>
            <w:color w:val="173C49"/>
            <w:u w:val="single"/>
          </w:rPr>
          <w:t>Клинические рекомендации Минздрава России. Пневмония (внебольничная), 2022 г.</w:t>
        </w:r>
      </w:hyperlink>
      <w:r>
        <w:rPr>
          <w:b w:val="0"/>
          <w:i/>
        </w:rPr>
        <w:t xml:space="preserve"> </w:t>
      </w:r>
      <w:hyperlink r:id="rId58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Педиатрия (специалитет)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Met_rekom_1_god/" TargetMode="External"/><Relationship Id="rId21" Type="http://schemas.openxmlformats.org/officeDocument/2006/relationships/hyperlink" Target="https://library.mededtech.ru/rest/documents/Met_rekom_1_god/index.html#paragraph_cdck5v" TargetMode="External"/><Relationship Id="rId22" Type="http://schemas.openxmlformats.org/officeDocument/2006/relationships/hyperlink" Target="https://library.mededtech.ru/rest/documents/Met_rekom_1_god/index.html#table6.2" TargetMode="External"/><Relationship Id="rId23" Type="http://schemas.openxmlformats.org/officeDocument/2006/relationships/hyperlink" Target="https://library.mededtech.ru/rest/documents/Met_rekom_1_god/index.html#table6.3" TargetMode="External"/><Relationship Id="rId24" Type="http://schemas.openxmlformats.org/officeDocument/2006/relationships/image" Target="media/image5.png"/><Relationship Id="rId25" Type="http://schemas.openxmlformats.org/officeDocument/2006/relationships/hyperlink" Target="https://library.mededtech.ru/rest/documents/ISBN9785970449097/?anchor=table2-7#table2-7" TargetMode="External"/><Relationship Id="rId26" Type="http://schemas.openxmlformats.org/officeDocument/2006/relationships/hyperlink" Target="https://library.mededtech.ru/rest/documents/ISBN9785970449097/?anchor=table2-8#table2-8" TargetMode="External"/><Relationship Id="rId27" Type="http://schemas.openxmlformats.org/officeDocument/2006/relationships/hyperlink" Target="https://library.mededtech.ru/rest/documents/prikazN211_25/" TargetMode="External"/><Relationship Id="rId28" Type="http://schemas.openxmlformats.org/officeDocument/2006/relationships/hyperlink" Target="https://library.mededtech.ru/rest/documents/prikazN211_25/#&#1055;&#1088;&#1080;&#1083;&#1086;&#1078;&#1077;&#1085;&#1080;&#1077;_1_&#1082;_&#1055;&#1086;&#1088;&#1103;&#1076;&#1082;&#1091;_&#1087;&#1088;&#1086;&#1093;&#1086;&#1078;&#1076;&#1077;&#1085;&#1080;&#1103;_&#1085;&#1077;&#1089;&#1086;&#1074;&#1077;&#1088;&#1096;&#1077;&#1085;&#1085;&#1086;&#1083;&#1077;&#1090;&#1085;&#1080;&#1084;&#1080;_&#1087;&#1088;&#1086;&#1092;&#1080;&#1083;&#1072;&#1082;&#1090;&#1080;&#1095;&#1077;&#1089;&#1082;&#1080;&#1093;_&#1084;&#1077;&#1076;&#1080;&#1094;&#1080;&#1085;&#1089;&#1082;&#1080;&#1093;_&#1086;&#1089;&#1084;&#1086;&#1090;&#1088;&#1086;&#1074;_&#1091;&#1090;&#1074;&#1077;&#1088;&#1078;&#1076;&#1077;&#1085;&#1085;&#1086;&#1084;&#1091;_&#1087;&#1088;&#1080;&#1082;&#1072;&#1079;&#1086;&#1084;_&#1052;&#1080;&#1085;&#1080;&#1089;&#1090;&#1077;&#1088;&#1089;&#1090;&#1074;&#1072;_&#1079;&#1076;&#1088;&#1072;&#1074;&#1086;&#1086;&#1093;&#1088;&#1072;&#1085;&#1077;&#1085;&#1080;&#1103;_&#1056;&#1086;&#1089;&#1089;&#1080;&#1081;&#1089;&#1082;&#1086;&#1081;_&#1060;&#1077;&#1076;&#1077;&#1088;&#1072;&#1094;&#1080;&#1080;_&#1086;&#1090;_14_&#1072;&#1087;&#1088;&#1077;&#1083;&#1103;_2025_&#1075;_211&#1085;" TargetMode="External"/><Relationship Id="rId29" Type="http://schemas.openxmlformats.org/officeDocument/2006/relationships/hyperlink" Target="https://library.mededtech.ru/rest/documents/prikazN211_25/#list_item_adk7uq" TargetMode="External"/><Relationship Id="rId30" Type="http://schemas.openxmlformats.org/officeDocument/2006/relationships/image" Target="media/image6.png"/><Relationship Id="rId31" Type="http://schemas.openxmlformats.org/officeDocument/2006/relationships/hyperlink" Target="https://library.mededtech.ru/rest/documents/Met_rekom_1_god/#paragraph_dbjfbs" TargetMode="External"/><Relationship Id="rId32" Type="http://schemas.openxmlformats.org/officeDocument/2006/relationships/hyperlink" Target="https://library.mededtech.ru/rest/documents/ISBN9785970449608/?anchor=table1-25#table1-25" TargetMode="External"/><Relationship Id="rId33" Type="http://schemas.openxmlformats.org/officeDocument/2006/relationships/hyperlink" Target="https://library.mededtech.ru/rest/documents/Met_rekom_1_god/index.html#list_item_526hil" TargetMode="External"/><Relationship Id="rId34" Type="http://schemas.openxmlformats.org/officeDocument/2006/relationships/hyperlink" Target="https://library.mededtech.ru/rest/documents/Met_rekom_1_god/index.html#paragraph_3ovt22" TargetMode="External"/><Relationship Id="rId35" Type="http://schemas.openxmlformats.org/officeDocument/2006/relationships/hyperlink" Target="https://library.mededtech.ru/rest/documents/Met_rekom_1_god/index.html#table5.1" TargetMode="External"/><Relationship Id="rId36" Type="http://schemas.openxmlformats.org/officeDocument/2006/relationships/image" Target="media/image7.png"/><Relationship Id="rId37" Type="http://schemas.openxmlformats.org/officeDocument/2006/relationships/hyperlink" Target="https://library.mededtech.ru/rest/documents/Met_rekom_1_god/index.html#list_item_hrv6lv" TargetMode="External"/><Relationship Id="rId38" Type="http://schemas.openxmlformats.org/officeDocument/2006/relationships/hyperlink" Target="https://library.mededtech.ru/rest/documents/Met_rekom_1_god/index.html#table_3qh6ic" TargetMode="External"/><Relationship Id="rId39" Type="http://schemas.openxmlformats.org/officeDocument/2006/relationships/hyperlink" Target="https://library.mededtech.ru/rest/documents/Met_rekom_1_god/index.html#paragraph_6v9k53" TargetMode="External"/><Relationship Id="rId40" Type="http://schemas.openxmlformats.org/officeDocument/2006/relationships/hyperlink" Target="https://library.mededtech.ru/rest/documents/Met_rekom_1_god/index.html#paragraph_ab47i5" TargetMode="External"/><Relationship Id="rId41" Type="http://schemas.openxmlformats.org/officeDocument/2006/relationships/hyperlink" Target="https://library.mededtech.ru/rest/documents/Met_rekom_1_god/index.html#paragraph_uikajb" TargetMode="External"/><Relationship Id="rId42" Type="http://schemas.openxmlformats.org/officeDocument/2006/relationships/image" Target="media/image8.png"/><Relationship Id="rId43" Type="http://schemas.openxmlformats.org/officeDocument/2006/relationships/image" Target="media/image9.png"/><Relationship Id="rId44" Type="http://schemas.openxmlformats.org/officeDocument/2006/relationships/hyperlink" Target="https://library.mededtech.ru/rest/documents/KP714/" TargetMode="External"/><Relationship Id="rId45" Type="http://schemas.openxmlformats.org/officeDocument/2006/relationships/hyperlink" Target="https://library.mededtech.ru/rest/documents/KP714/#paragraph_8dsbda" TargetMode="External"/><Relationship Id="rId46" Type="http://schemas.openxmlformats.org/officeDocument/2006/relationships/hyperlink" Target="https://library.mededtech.ru/rest/documents/KP714/#paragraph_qm7jk2" TargetMode="External"/><Relationship Id="rId47" Type="http://schemas.openxmlformats.org/officeDocument/2006/relationships/hyperlink" Target="https://library.mededtech.ru/rest/documents/KP714/#paragraph_bg9g7d" TargetMode="External"/><Relationship Id="rId48" Type="http://schemas.openxmlformats.org/officeDocument/2006/relationships/hyperlink" Target="https://library.mededtech.ru/rest/documents/KP714/#list_item_ssald3" TargetMode="External"/><Relationship Id="rId49" Type="http://schemas.openxmlformats.org/officeDocument/2006/relationships/hyperlink" Target="https://library.mededtech.ru/rest/documents/KP714/#list_item_ctvr12" TargetMode="External"/><Relationship Id="rId50" Type="http://schemas.openxmlformats.org/officeDocument/2006/relationships/hyperlink" Target="https://library.mededtech.ru/rest/documents/KP714/#list_item_0ar06m" TargetMode="External"/><Relationship Id="rId51" Type="http://schemas.openxmlformats.org/officeDocument/2006/relationships/hyperlink" Target="https://library.mededtech.ru/rest/documents/KP714/#paragraph_v8km2v" TargetMode="External"/><Relationship Id="rId52" Type="http://schemas.openxmlformats.org/officeDocument/2006/relationships/hyperlink" Target="https://library.mededtech.ru/rest/documents/KP714/#list_item_8mjfb3" TargetMode="External"/><Relationship Id="rId53" Type="http://schemas.openxmlformats.org/officeDocument/2006/relationships/hyperlink" Target="https://library.mededtech.ru/rest/documents/KP714/#paragraph_4p5s3f" TargetMode="External"/><Relationship Id="rId54" Type="http://schemas.openxmlformats.org/officeDocument/2006/relationships/hyperlink" Target="https://library.mededtech.ru/rest/documents/KP714/#list_item_2lp5fh" TargetMode="External"/><Relationship Id="rId55" Type="http://schemas.openxmlformats.org/officeDocument/2006/relationships/hyperlink" Target="https://library.mededtech.ru/rest/documents/KP714/#paragraph_a81av8" TargetMode="External"/><Relationship Id="rId56" Type="http://schemas.openxmlformats.org/officeDocument/2006/relationships/hyperlink" Target="https://library.mededtech.ru/rest/documents/KP714/#list_item_gjefbg" TargetMode="External"/><Relationship Id="rId57" Type="http://schemas.openxmlformats.org/officeDocument/2006/relationships/hyperlink" Target="https://library.mededtech.ru/rest/documents/KP714/#list_item_ftutkm" TargetMode="External"/><Relationship Id="rId58" Type="http://schemas.openxmlformats.org/officeDocument/2006/relationships/hyperlink" Target="https://library.mededtech.ru/rest/documents/KP714/#paragraph_j8qf7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